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922" w:rsidRPr="00B34922" w:rsidRDefault="00B34922" w:rsidP="00B34922">
      <w:pPr>
        <w:spacing w:after="200" w:line="276" w:lineRule="auto"/>
        <w:rPr>
          <w:rFonts w:ascii="Calibri" w:eastAsia="Calibri" w:hAnsi="Calibri" w:cs="Times New Roman"/>
          <w:lang w:val="en-GB"/>
        </w:rPr>
      </w:pPr>
    </w:p>
    <w:p w:rsidR="00B34922" w:rsidRPr="00B34922" w:rsidRDefault="00B34922" w:rsidP="00B34922">
      <w:pPr>
        <w:keepNext/>
        <w:overflowPunct w:val="0"/>
        <w:autoSpaceDE w:val="0"/>
        <w:autoSpaceDN w:val="0"/>
        <w:adjustRightInd w:val="0"/>
        <w:spacing w:after="0" w:line="360" w:lineRule="auto"/>
        <w:jc w:val="center"/>
        <w:textAlignment w:val="baseline"/>
        <w:outlineLvl w:val="1"/>
        <w:rPr>
          <w:rFonts w:ascii="Times New Roman" w:eastAsia="Times New Roman" w:hAnsi="Times New Roman" w:cs="Times New Roman"/>
          <w:sz w:val="24"/>
          <w:szCs w:val="24"/>
          <w:lang w:val="en-GB"/>
        </w:rPr>
      </w:pPr>
      <w:r w:rsidRPr="00B34922">
        <w:rPr>
          <w:rFonts w:ascii="Times New Roman" w:eastAsia="Times New Roman" w:hAnsi="Times New Roman" w:cs="Times New Roman"/>
          <w:sz w:val="24"/>
          <w:szCs w:val="24"/>
          <w:lang w:val="en-GB"/>
        </w:rPr>
        <w:t>REPUBLIC OF KENYA</w:t>
      </w:r>
    </w:p>
    <w:p w:rsidR="00B34922" w:rsidRPr="00B34922" w:rsidRDefault="00B34922" w:rsidP="00B34922">
      <w:pPr>
        <w:spacing w:after="0" w:line="360" w:lineRule="auto"/>
        <w:jc w:val="center"/>
        <w:rPr>
          <w:rFonts w:ascii="Times New Roman" w:eastAsia="Calibri" w:hAnsi="Times New Roman" w:cs="Times New Roman"/>
          <w:sz w:val="24"/>
          <w:szCs w:val="24"/>
          <w:lang w:val="en-GB"/>
        </w:rPr>
      </w:pPr>
      <w:r w:rsidRPr="00B34922">
        <w:rPr>
          <w:rFonts w:ascii="Times New Roman" w:eastAsia="Calibri" w:hAnsi="Times New Roman" w:cs="Times New Roman"/>
          <w:sz w:val="24"/>
          <w:szCs w:val="24"/>
          <w:lang w:val="en-GB"/>
        </w:rPr>
        <w:t xml:space="preserve">IN THE RETIREMENT BENEFITS AUTHORITY TRIBUNAL </w:t>
      </w:r>
    </w:p>
    <w:p w:rsidR="00B34922" w:rsidRPr="00B34922" w:rsidRDefault="00B34922" w:rsidP="00B34922">
      <w:pPr>
        <w:spacing w:after="0" w:line="360" w:lineRule="auto"/>
        <w:jc w:val="center"/>
        <w:rPr>
          <w:rFonts w:ascii="Times New Roman" w:eastAsia="Calibri" w:hAnsi="Times New Roman" w:cs="Times New Roman"/>
          <w:sz w:val="24"/>
          <w:szCs w:val="24"/>
          <w:lang w:val="en-GB"/>
        </w:rPr>
      </w:pPr>
      <w:r w:rsidRPr="00B34922">
        <w:rPr>
          <w:rFonts w:ascii="Times New Roman" w:eastAsia="Calibri" w:hAnsi="Times New Roman" w:cs="Times New Roman"/>
          <w:sz w:val="24"/>
          <w:szCs w:val="24"/>
          <w:lang w:val="en-GB"/>
        </w:rPr>
        <w:t>APPEAL. NO……OF 20..</w:t>
      </w:r>
    </w:p>
    <w:p w:rsidR="00B34922" w:rsidRPr="00B34922" w:rsidRDefault="00B34922" w:rsidP="00B34922">
      <w:pPr>
        <w:spacing w:after="0" w:line="360" w:lineRule="auto"/>
        <w:jc w:val="center"/>
        <w:rPr>
          <w:rFonts w:ascii="Times New Roman" w:eastAsia="Calibri" w:hAnsi="Times New Roman" w:cs="Times New Roman"/>
          <w:sz w:val="24"/>
          <w:szCs w:val="24"/>
          <w:u w:val="single"/>
          <w:lang w:val="en-GB"/>
        </w:rPr>
      </w:pPr>
    </w:p>
    <w:p w:rsidR="00B34922" w:rsidRPr="00B34922" w:rsidRDefault="00B34922" w:rsidP="00B34922">
      <w:pPr>
        <w:autoSpaceDE w:val="0"/>
        <w:autoSpaceDN w:val="0"/>
        <w:adjustRightInd w:val="0"/>
        <w:spacing w:after="0" w:line="360" w:lineRule="auto"/>
        <w:ind w:left="3600" w:hanging="3600"/>
        <w:jc w:val="both"/>
        <w:rPr>
          <w:rFonts w:ascii="Times New Roman" w:hAnsi="Times New Roman" w:cs="Times New Roman"/>
          <w:bCs/>
          <w:sz w:val="24"/>
          <w:szCs w:val="24"/>
        </w:rPr>
      </w:pPr>
      <w:r w:rsidRPr="00B34922">
        <w:rPr>
          <w:rFonts w:ascii="Times New Roman" w:eastAsia="Calibri" w:hAnsi="Times New Roman" w:cs="Times New Roman"/>
          <w:sz w:val="24"/>
          <w:szCs w:val="24"/>
          <w:lang w:val="en-GB"/>
        </w:rPr>
        <w:t xml:space="preserve">HALISI RETIREMENT BENEFITS SCHEME ....................................................APPELANT </w:t>
      </w:r>
    </w:p>
    <w:p w:rsidR="00B34922" w:rsidRPr="00B34922" w:rsidRDefault="00B34922" w:rsidP="00B34922">
      <w:pPr>
        <w:autoSpaceDE w:val="0"/>
        <w:autoSpaceDN w:val="0"/>
        <w:adjustRightInd w:val="0"/>
        <w:spacing w:after="0" w:line="360" w:lineRule="auto"/>
        <w:ind w:left="3600" w:hanging="3600"/>
        <w:jc w:val="center"/>
        <w:rPr>
          <w:rFonts w:ascii="Times New Roman" w:hAnsi="Times New Roman" w:cs="Times New Roman"/>
          <w:bCs/>
          <w:sz w:val="24"/>
          <w:szCs w:val="24"/>
        </w:rPr>
      </w:pPr>
      <w:r w:rsidRPr="00B34922">
        <w:rPr>
          <w:rFonts w:ascii="Times New Roman" w:hAnsi="Times New Roman" w:cs="Times New Roman"/>
          <w:bCs/>
          <w:sz w:val="24"/>
          <w:szCs w:val="24"/>
        </w:rPr>
        <w:t xml:space="preserve">VERSUS </w:t>
      </w:r>
    </w:p>
    <w:p w:rsidR="00B34922" w:rsidRPr="00B34922" w:rsidRDefault="00B34922" w:rsidP="00B34922">
      <w:pPr>
        <w:autoSpaceDE w:val="0"/>
        <w:autoSpaceDN w:val="0"/>
        <w:adjustRightInd w:val="0"/>
        <w:spacing w:after="0" w:line="360" w:lineRule="auto"/>
        <w:ind w:left="3600" w:hanging="3600"/>
        <w:jc w:val="both"/>
        <w:rPr>
          <w:rFonts w:ascii="Times New Roman" w:eastAsia="Calibri" w:hAnsi="Times New Roman" w:cs="Times New Roman"/>
          <w:sz w:val="24"/>
          <w:szCs w:val="24"/>
          <w:lang w:val="en-GB"/>
        </w:rPr>
      </w:pPr>
      <w:r w:rsidRPr="00B34922">
        <w:rPr>
          <w:rFonts w:ascii="Times New Roman" w:eastAsia="Calibri" w:hAnsi="Times New Roman" w:cs="Times New Roman"/>
          <w:sz w:val="24"/>
          <w:szCs w:val="24"/>
          <w:lang w:val="en-GB"/>
        </w:rPr>
        <w:t>CHIEF EXECUTIVE OFFICER …………………………………………….1</w:t>
      </w:r>
      <w:r w:rsidRPr="00B34922">
        <w:rPr>
          <w:rFonts w:ascii="Times New Roman" w:eastAsia="Calibri" w:hAnsi="Times New Roman" w:cs="Times New Roman"/>
          <w:sz w:val="24"/>
          <w:szCs w:val="24"/>
          <w:vertAlign w:val="superscript"/>
          <w:lang w:val="en-GB"/>
        </w:rPr>
        <w:t xml:space="preserve">ST </w:t>
      </w:r>
      <w:r w:rsidRPr="00B34922">
        <w:rPr>
          <w:rFonts w:ascii="Times New Roman" w:eastAsia="Calibri" w:hAnsi="Times New Roman" w:cs="Times New Roman"/>
          <w:sz w:val="24"/>
          <w:szCs w:val="24"/>
          <w:lang w:val="en-GB"/>
        </w:rPr>
        <w:t>RESPONDENT</w:t>
      </w:r>
    </w:p>
    <w:p w:rsidR="00B34922" w:rsidRPr="00B34922" w:rsidRDefault="00B34922" w:rsidP="00B34922">
      <w:pPr>
        <w:autoSpaceDE w:val="0"/>
        <w:autoSpaceDN w:val="0"/>
        <w:adjustRightInd w:val="0"/>
        <w:spacing w:after="0" w:line="360" w:lineRule="auto"/>
        <w:ind w:left="3600" w:hanging="3600"/>
        <w:jc w:val="both"/>
        <w:rPr>
          <w:rFonts w:ascii="Times New Roman" w:hAnsi="Times New Roman" w:cs="Times New Roman"/>
          <w:bCs/>
          <w:sz w:val="24"/>
          <w:szCs w:val="24"/>
        </w:rPr>
      </w:pPr>
      <w:r w:rsidRPr="00B34922">
        <w:rPr>
          <w:rFonts w:ascii="Times New Roman" w:eastAsia="Calibri" w:hAnsi="Times New Roman" w:cs="Times New Roman"/>
          <w:sz w:val="24"/>
          <w:szCs w:val="24"/>
          <w:lang w:val="en-GB"/>
        </w:rPr>
        <w:t xml:space="preserve">RETIREMENT BENEFITS AUTHORITY </w:t>
      </w:r>
      <w:r w:rsidRPr="00B34922">
        <w:rPr>
          <w:rFonts w:ascii="Times New Roman" w:hAnsi="Times New Roman" w:cs="Times New Roman"/>
          <w:bCs/>
          <w:sz w:val="24"/>
          <w:szCs w:val="24"/>
        </w:rPr>
        <w:t>....................................................2</w:t>
      </w:r>
      <w:r w:rsidRPr="00B34922">
        <w:rPr>
          <w:rFonts w:ascii="Times New Roman" w:hAnsi="Times New Roman" w:cs="Times New Roman"/>
          <w:bCs/>
          <w:sz w:val="24"/>
          <w:szCs w:val="24"/>
          <w:vertAlign w:val="superscript"/>
        </w:rPr>
        <w:t>ND</w:t>
      </w:r>
      <w:r w:rsidRPr="00B34922">
        <w:rPr>
          <w:rFonts w:ascii="Times New Roman" w:hAnsi="Times New Roman" w:cs="Times New Roman"/>
          <w:bCs/>
          <w:sz w:val="24"/>
          <w:szCs w:val="24"/>
        </w:rPr>
        <w:t xml:space="preserve"> RESPONDENT</w:t>
      </w:r>
    </w:p>
    <w:p w:rsidR="00B34922" w:rsidRPr="00B34922" w:rsidRDefault="00B34922" w:rsidP="00B34922">
      <w:pPr>
        <w:keepNext/>
        <w:overflowPunct w:val="0"/>
        <w:autoSpaceDE w:val="0"/>
        <w:autoSpaceDN w:val="0"/>
        <w:adjustRightInd w:val="0"/>
        <w:spacing w:after="0" w:line="360" w:lineRule="auto"/>
        <w:jc w:val="center"/>
        <w:textAlignment w:val="baseline"/>
        <w:outlineLvl w:val="1"/>
        <w:rPr>
          <w:rFonts w:ascii="Times New Roman" w:eastAsia="Times New Roman" w:hAnsi="Times New Roman" w:cs="Times New Roman"/>
          <w:sz w:val="24"/>
          <w:szCs w:val="24"/>
          <w:lang w:val="en-GB"/>
        </w:rPr>
      </w:pPr>
    </w:p>
    <w:p w:rsidR="00B34922" w:rsidRPr="00B34922" w:rsidRDefault="00B34922" w:rsidP="00B34922">
      <w:pPr>
        <w:keepNext/>
        <w:overflowPunct w:val="0"/>
        <w:autoSpaceDE w:val="0"/>
        <w:autoSpaceDN w:val="0"/>
        <w:adjustRightInd w:val="0"/>
        <w:spacing w:after="0" w:line="360" w:lineRule="auto"/>
        <w:jc w:val="center"/>
        <w:textAlignment w:val="baseline"/>
        <w:outlineLvl w:val="1"/>
        <w:rPr>
          <w:rFonts w:ascii="Times New Roman" w:eastAsia="Times New Roman" w:hAnsi="Times New Roman" w:cs="Times New Roman"/>
          <w:sz w:val="24"/>
          <w:szCs w:val="24"/>
          <w:u w:val="single"/>
          <w:lang w:val="en-GB"/>
        </w:rPr>
      </w:pPr>
      <w:r w:rsidRPr="00B34922">
        <w:rPr>
          <w:rFonts w:ascii="Times New Roman" w:eastAsia="Times New Roman" w:hAnsi="Times New Roman" w:cs="Times New Roman"/>
          <w:sz w:val="24"/>
          <w:szCs w:val="24"/>
          <w:u w:val="single"/>
          <w:lang w:val="en-GB"/>
        </w:rPr>
        <w:t xml:space="preserve">STATEMENTS OF FACTS OF APPELLANT </w:t>
      </w:r>
    </w:p>
    <w:p w:rsidR="00B34922" w:rsidRPr="00B34922" w:rsidRDefault="00B34922" w:rsidP="00B34922">
      <w:pPr>
        <w:overflowPunct w:val="0"/>
        <w:autoSpaceDE w:val="0"/>
        <w:autoSpaceDN w:val="0"/>
        <w:adjustRightInd w:val="0"/>
        <w:spacing w:after="0" w:line="360" w:lineRule="auto"/>
        <w:jc w:val="center"/>
        <w:textAlignment w:val="baseline"/>
        <w:rPr>
          <w:rFonts w:ascii="Times New Roman" w:eastAsia="Times New Roman" w:hAnsi="Times New Roman" w:cs="Times New Roman"/>
          <w:bCs/>
          <w:sz w:val="24"/>
          <w:szCs w:val="24"/>
          <w:lang w:val="en-GB"/>
        </w:rPr>
      </w:pPr>
      <w:r w:rsidRPr="00B34922">
        <w:rPr>
          <w:rFonts w:ascii="Times New Roman" w:eastAsia="Times New Roman" w:hAnsi="Times New Roman" w:cs="Times New Roman"/>
          <w:bCs/>
          <w:sz w:val="24"/>
          <w:szCs w:val="24"/>
          <w:lang w:val="en-GB"/>
        </w:rPr>
        <w:t>[Under rule 6 of the Retirement Benefits (Tribunal) Rules]</w:t>
      </w:r>
    </w:p>
    <w:p w:rsidR="00B34922" w:rsidRPr="00B34922" w:rsidRDefault="00B34922" w:rsidP="00B34922">
      <w:pPr>
        <w:overflowPunct w:val="0"/>
        <w:autoSpaceDE w:val="0"/>
        <w:autoSpaceDN w:val="0"/>
        <w:adjustRightInd w:val="0"/>
        <w:spacing w:after="0" w:line="360" w:lineRule="auto"/>
        <w:jc w:val="center"/>
        <w:textAlignment w:val="baseline"/>
        <w:rPr>
          <w:rFonts w:ascii="Times New Roman" w:eastAsia="Times New Roman" w:hAnsi="Times New Roman" w:cs="Times New Roman"/>
          <w:bCs/>
          <w:sz w:val="24"/>
          <w:szCs w:val="24"/>
          <w:lang w:val="en-GB"/>
        </w:rPr>
      </w:pPr>
    </w:p>
    <w:p w:rsidR="00B34922" w:rsidRPr="00B34922" w:rsidRDefault="00B34922" w:rsidP="00B34922">
      <w:pPr>
        <w:spacing w:after="0" w:line="360" w:lineRule="auto"/>
        <w:ind w:left="630" w:hanging="630"/>
        <w:jc w:val="both"/>
        <w:rPr>
          <w:rFonts w:ascii="Times New Roman" w:eastAsia="Calibri" w:hAnsi="Times New Roman" w:cs="Times New Roman"/>
          <w:b/>
          <w:bCs/>
          <w:sz w:val="24"/>
          <w:szCs w:val="24"/>
          <w:lang w:val="en-GB"/>
        </w:rPr>
      </w:pPr>
      <w:r w:rsidRPr="00B34922">
        <w:rPr>
          <w:rFonts w:ascii="Times New Roman" w:eastAsia="Calibri" w:hAnsi="Times New Roman" w:cs="Times New Roman"/>
          <w:b/>
          <w:bCs/>
          <w:sz w:val="24"/>
          <w:szCs w:val="24"/>
          <w:lang w:val="en-GB"/>
        </w:rPr>
        <w:t>Name and Description of the Applicant</w:t>
      </w: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bCs/>
          <w:sz w:val="24"/>
          <w:szCs w:val="24"/>
          <w:lang w:val="en-GB"/>
        </w:rPr>
      </w:pPr>
      <w:r w:rsidRPr="00B34922">
        <w:rPr>
          <w:rFonts w:ascii="Times New Roman" w:eastAsia="Calibri" w:hAnsi="Times New Roman" w:cs="Times New Roman"/>
          <w:sz w:val="24"/>
          <w:szCs w:val="24"/>
          <w:lang w:val="en-GB"/>
        </w:rPr>
        <w:t>The Appellant is a</w:t>
      </w:r>
      <w:r w:rsidRPr="00B34922">
        <w:rPr>
          <w:rFonts w:ascii="Times New Roman" w:eastAsia="Calibri" w:hAnsi="Times New Roman" w:cs="Times New Roman"/>
          <w:color w:val="202124"/>
          <w:sz w:val="24"/>
          <w:szCs w:val="24"/>
          <w:shd w:val="clear" w:color="auto" w:fill="FFFFFF"/>
          <w:lang w:val="en-GB"/>
        </w:rPr>
        <w:t xml:space="preserve"> defined contribution scheme established by </w:t>
      </w:r>
      <w:r w:rsidRPr="00B34922">
        <w:rPr>
          <w:rFonts w:ascii="Times New Roman" w:eastAsia="Calibri" w:hAnsi="Times New Roman" w:cs="Times New Roman"/>
          <w:sz w:val="24"/>
          <w:szCs w:val="24"/>
          <w:lang w:val="en-GB"/>
        </w:rPr>
        <w:t>a Trust Deed dated 6</w:t>
      </w:r>
      <w:r w:rsidRPr="00B34922">
        <w:rPr>
          <w:rFonts w:ascii="Times New Roman" w:eastAsia="Calibri" w:hAnsi="Times New Roman" w:cs="Times New Roman"/>
          <w:sz w:val="24"/>
          <w:szCs w:val="24"/>
          <w:vertAlign w:val="superscript"/>
          <w:lang w:val="en-GB"/>
        </w:rPr>
        <w:t>th</w:t>
      </w:r>
      <w:r w:rsidRPr="00B34922">
        <w:rPr>
          <w:rFonts w:ascii="Times New Roman" w:eastAsia="Calibri" w:hAnsi="Times New Roman" w:cs="Times New Roman"/>
          <w:sz w:val="24"/>
          <w:szCs w:val="24"/>
          <w:lang w:val="en-GB"/>
        </w:rPr>
        <w:t xml:space="preserve"> October, 2016 and</w:t>
      </w:r>
      <w:r w:rsidRPr="00B34922">
        <w:rPr>
          <w:rFonts w:ascii="Times New Roman" w:eastAsia="Calibri" w:hAnsi="Times New Roman" w:cs="Times New Roman"/>
          <w:color w:val="202124"/>
          <w:sz w:val="24"/>
          <w:szCs w:val="24"/>
          <w:shd w:val="clear" w:color="auto" w:fill="FFFFFF"/>
          <w:lang w:val="en-GB"/>
        </w:rPr>
        <w:t xml:space="preserve"> registered by the Retirement Benefits Authority</w:t>
      </w:r>
      <w:r w:rsidRPr="00B34922">
        <w:rPr>
          <w:rFonts w:ascii="Times New Roman" w:eastAsia="Calibri" w:hAnsi="Times New Roman" w:cs="Times New Roman"/>
          <w:bCs/>
          <w:sz w:val="24"/>
          <w:szCs w:val="24"/>
          <w:lang w:val="en-GB"/>
        </w:rPr>
        <w:t xml:space="preserve">. </w:t>
      </w:r>
    </w:p>
    <w:p w:rsidR="00B34922" w:rsidRPr="00B34922" w:rsidRDefault="00B34922" w:rsidP="00B34922">
      <w:pPr>
        <w:spacing w:after="0" w:line="360" w:lineRule="auto"/>
        <w:ind w:left="1350"/>
        <w:jc w:val="both"/>
        <w:rPr>
          <w:rFonts w:ascii="Times New Roman" w:eastAsia="Calibri" w:hAnsi="Times New Roman" w:cs="Times New Roman"/>
          <w:sz w:val="24"/>
          <w:szCs w:val="24"/>
          <w:u w:val="single"/>
          <w:lang w:val="en-GB"/>
        </w:rPr>
      </w:pP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sz w:val="24"/>
          <w:szCs w:val="24"/>
          <w:u w:val="single"/>
          <w:lang w:val="en-GB"/>
        </w:rPr>
      </w:pPr>
      <w:r w:rsidRPr="00B34922">
        <w:rPr>
          <w:rFonts w:ascii="Times New Roman" w:eastAsia="Calibri" w:hAnsi="Times New Roman" w:cs="Times New Roman"/>
          <w:bCs/>
          <w:sz w:val="24"/>
          <w:szCs w:val="24"/>
          <w:lang w:val="en-GB"/>
        </w:rPr>
        <w:t xml:space="preserve">The Applicant’s address for purposes of this suit is care of Messrs CM ADVOCATES LLP, I &amp;M Bank </w:t>
      </w:r>
      <w:r w:rsidRPr="00B34922">
        <w:rPr>
          <w:rFonts w:ascii="Times New Roman" w:eastAsia="Calibri" w:hAnsi="Times New Roman" w:cs="Times New Roman"/>
          <w:sz w:val="24"/>
          <w:szCs w:val="24"/>
          <w:lang w:val="en-GB"/>
        </w:rPr>
        <w:t>House, 7</w:t>
      </w:r>
      <w:r w:rsidRPr="00B34922">
        <w:rPr>
          <w:rFonts w:ascii="Times New Roman" w:eastAsia="Calibri" w:hAnsi="Times New Roman" w:cs="Times New Roman"/>
          <w:sz w:val="24"/>
          <w:szCs w:val="24"/>
          <w:vertAlign w:val="superscript"/>
          <w:lang w:val="en-GB"/>
        </w:rPr>
        <w:t xml:space="preserve">th </w:t>
      </w:r>
      <w:r w:rsidRPr="00B34922">
        <w:rPr>
          <w:rFonts w:ascii="Times New Roman" w:eastAsia="Calibri" w:hAnsi="Times New Roman" w:cs="Times New Roman"/>
          <w:sz w:val="24"/>
          <w:szCs w:val="24"/>
          <w:lang w:val="en-GB"/>
        </w:rPr>
        <w:t>Floor, 2</w:t>
      </w:r>
      <w:r w:rsidRPr="00B34922">
        <w:rPr>
          <w:rFonts w:ascii="Times New Roman" w:eastAsia="Calibri" w:hAnsi="Times New Roman" w:cs="Times New Roman"/>
          <w:sz w:val="24"/>
          <w:szCs w:val="24"/>
          <w:vertAlign w:val="superscript"/>
          <w:lang w:val="en-GB"/>
        </w:rPr>
        <w:t>nd</w:t>
      </w:r>
      <w:r w:rsidRPr="00B34922">
        <w:rPr>
          <w:rFonts w:ascii="Times New Roman" w:eastAsia="Calibri" w:hAnsi="Times New Roman" w:cs="Times New Roman"/>
          <w:sz w:val="24"/>
          <w:szCs w:val="24"/>
          <w:lang w:val="en-GB"/>
        </w:rPr>
        <w:t xml:space="preserve"> Ngong Avenue, P.O. BOX 22588 -- 00100, Nairobi.</w:t>
      </w:r>
    </w:p>
    <w:p w:rsidR="00B34922" w:rsidRPr="00B34922" w:rsidRDefault="00B34922" w:rsidP="00B34922">
      <w:pPr>
        <w:tabs>
          <w:tab w:val="num" w:pos="630"/>
        </w:tabs>
        <w:spacing w:after="0" w:line="360" w:lineRule="auto"/>
        <w:ind w:left="630"/>
        <w:jc w:val="both"/>
        <w:rPr>
          <w:rFonts w:ascii="Times New Roman" w:eastAsia="Calibri" w:hAnsi="Times New Roman" w:cs="Times New Roman"/>
          <w:sz w:val="24"/>
          <w:szCs w:val="24"/>
          <w:u w:val="single"/>
          <w:lang w:val="en-GB"/>
        </w:rPr>
      </w:pPr>
    </w:p>
    <w:p w:rsidR="00B34922" w:rsidRPr="00B34922" w:rsidRDefault="00B34922" w:rsidP="00B34922">
      <w:pPr>
        <w:spacing w:after="0" w:line="360" w:lineRule="auto"/>
        <w:ind w:left="630" w:hanging="630"/>
        <w:jc w:val="both"/>
        <w:rPr>
          <w:rFonts w:ascii="Times New Roman" w:eastAsia="Calibri" w:hAnsi="Times New Roman" w:cs="Times New Roman"/>
          <w:b/>
          <w:sz w:val="24"/>
          <w:szCs w:val="24"/>
          <w:lang w:val="en-GB"/>
        </w:rPr>
      </w:pPr>
      <w:r w:rsidRPr="00B34922">
        <w:rPr>
          <w:rFonts w:ascii="Times New Roman" w:eastAsia="Calibri" w:hAnsi="Times New Roman" w:cs="Times New Roman"/>
          <w:b/>
          <w:sz w:val="24"/>
          <w:szCs w:val="24"/>
          <w:lang w:val="en-GB"/>
        </w:rPr>
        <w:t>The Reliefs Sought</w:t>
      </w: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sz w:val="24"/>
          <w:szCs w:val="24"/>
          <w:lang w:val="en-GB"/>
        </w:rPr>
      </w:pPr>
      <w:r w:rsidRPr="00B34922">
        <w:rPr>
          <w:rFonts w:ascii="Times New Roman" w:eastAsia="Calibri" w:hAnsi="Times New Roman" w:cs="Times New Roman"/>
          <w:sz w:val="24"/>
          <w:szCs w:val="24"/>
          <w:lang w:val="en-GB"/>
        </w:rPr>
        <w:t xml:space="preserve">The Appellant seeks: </w:t>
      </w:r>
    </w:p>
    <w:p w:rsidR="00B34922" w:rsidRPr="00B34922" w:rsidRDefault="00B34922" w:rsidP="00B34922">
      <w:pPr>
        <w:numPr>
          <w:ilvl w:val="0"/>
          <w:numId w:val="2"/>
        </w:numPr>
        <w:shd w:val="clear" w:color="auto" w:fill="FFFFFF"/>
        <w:spacing w:after="0" w:line="360" w:lineRule="auto"/>
        <w:contextualSpacing/>
        <w:jc w:val="both"/>
        <w:rPr>
          <w:rFonts w:ascii="Times New Roman" w:eastAsia="Calibri" w:hAnsi="Times New Roman" w:cs="Times New Roman"/>
          <w:color w:val="000000" w:themeColor="text1"/>
          <w:sz w:val="24"/>
          <w:szCs w:val="24"/>
          <w:lang w:val="en-GB"/>
        </w:rPr>
      </w:pPr>
      <w:r w:rsidRPr="00B34922">
        <w:rPr>
          <w:rFonts w:ascii="Times New Roman" w:eastAsia="Times New Roman" w:hAnsi="Times New Roman" w:cs="Times New Roman"/>
          <w:color w:val="000000" w:themeColor="text1"/>
          <w:sz w:val="24"/>
          <w:szCs w:val="24"/>
        </w:rPr>
        <w:t>THAT this appeal be allowed.</w:t>
      </w:r>
    </w:p>
    <w:p w:rsidR="00B34922" w:rsidRPr="00B34922" w:rsidRDefault="00B34922" w:rsidP="00B34922">
      <w:pPr>
        <w:numPr>
          <w:ilvl w:val="0"/>
          <w:numId w:val="2"/>
        </w:numPr>
        <w:shd w:val="clear" w:color="auto" w:fill="FFFFFF"/>
        <w:spacing w:after="0" w:line="360" w:lineRule="auto"/>
        <w:contextualSpacing/>
        <w:jc w:val="both"/>
        <w:rPr>
          <w:rFonts w:ascii="Times New Roman" w:eastAsia="Calibri" w:hAnsi="Times New Roman" w:cs="Times New Roman"/>
          <w:color w:val="000000" w:themeColor="text1"/>
          <w:sz w:val="24"/>
          <w:szCs w:val="24"/>
          <w:lang w:val="en-GB"/>
        </w:rPr>
      </w:pPr>
      <w:r w:rsidRPr="00B34922">
        <w:rPr>
          <w:rFonts w:ascii="Times New Roman" w:eastAsia="Times New Roman" w:hAnsi="Times New Roman" w:cs="Times New Roman"/>
          <w:color w:val="000000" w:themeColor="text1"/>
          <w:sz w:val="24"/>
          <w:szCs w:val="24"/>
        </w:rPr>
        <w:t>THAT the decision of the Respondent dated 30</w:t>
      </w:r>
      <w:r w:rsidRPr="00B34922">
        <w:rPr>
          <w:rFonts w:ascii="Times New Roman" w:eastAsia="Times New Roman" w:hAnsi="Times New Roman" w:cs="Times New Roman"/>
          <w:color w:val="000000" w:themeColor="text1"/>
          <w:sz w:val="24"/>
          <w:szCs w:val="24"/>
          <w:vertAlign w:val="superscript"/>
        </w:rPr>
        <w:t>th</w:t>
      </w:r>
      <w:r w:rsidRPr="00B34922">
        <w:rPr>
          <w:rFonts w:ascii="Times New Roman" w:eastAsia="Times New Roman" w:hAnsi="Times New Roman" w:cs="Times New Roman"/>
          <w:color w:val="000000" w:themeColor="text1"/>
          <w:sz w:val="24"/>
          <w:szCs w:val="24"/>
        </w:rPr>
        <w:t xml:space="preserve"> August 2020 is set aside </w:t>
      </w:r>
    </w:p>
    <w:p w:rsidR="00B34922" w:rsidRPr="00B34922" w:rsidRDefault="00B34922" w:rsidP="00B34922">
      <w:pPr>
        <w:numPr>
          <w:ilvl w:val="0"/>
          <w:numId w:val="2"/>
        </w:numPr>
        <w:shd w:val="clear" w:color="auto" w:fill="FFFFFF"/>
        <w:spacing w:after="0" w:line="360" w:lineRule="auto"/>
        <w:contextualSpacing/>
        <w:jc w:val="both"/>
        <w:rPr>
          <w:rFonts w:ascii="Times New Roman" w:eastAsia="Calibri" w:hAnsi="Times New Roman" w:cs="Times New Roman"/>
          <w:color w:val="000000" w:themeColor="text1"/>
          <w:sz w:val="24"/>
          <w:szCs w:val="24"/>
          <w:lang w:val="en-GB"/>
        </w:rPr>
      </w:pPr>
      <w:r w:rsidRPr="00B34922">
        <w:rPr>
          <w:rFonts w:ascii="Times New Roman" w:eastAsia="Times New Roman" w:hAnsi="Times New Roman" w:cs="Times New Roman"/>
          <w:color w:val="000000" w:themeColor="text1"/>
          <w:sz w:val="24"/>
          <w:szCs w:val="24"/>
        </w:rPr>
        <w:t>THAT the Honorable tribunal orders the Respondent to reinstate the appellant registration forthwith.</w:t>
      </w:r>
    </w:p>
    <w:p w:rsidR="00B34922" w:rsidRPr="00B34922" w:rsidRDefault="00B34922" w:rsidP="00B34922">
      <w:pPr>
        <w:numPr>
          <w:ilvl w:val="0"/>
          <w:numId w:val="2"/>
        </w:numPr>
        <w:shd w:val="clear" w:color="auto" w:fill="FFFFFF"/>
        <w:spacing w:after="0" w:line="360" w:lineRule="auto"/>
        <w:contextualSpacing/>
        <w:jc w:val="both"/>
        <w:rPr>
          <w:rFonts w:ascii="Times New Roman" w:eastAsia="Calibri" w:hAnsi="Times New Roman" w:cs="Times New Roman"/>
          <w:color w:val="000000" w:themeColor="text1"/>
          <w:sz w:val="24"/>
          <w:szCs w:val="24"/>
          <w:lang w:val="en-GB"/>
        </w:rPr>
      </w:pPr>
      <w:r w:rsidRPr="00B34922">
        <w:rPr>
          <w:rFonts w:ascii="Times New Roman" w:eastAsia="Times New Roman" w:hAnsi="Times New Roman" w:cs="Times New Roman"/>
          <w:color w:val="000000" w:themeColor="text1"/>
          <w:sz w:val="24"/>
          <w:szCs w:val="24"/>
        </w:rPr>
        <w:t>That the appellant be awarded costs for this appeal.</w:t>
      </w:r>
    </w:p>
    <w:p w:rsidR="00B34922" w:rsidRPr="00B34922" w:rsidRDefault="00B34922" w:rsidP="00B34922">
      <w:pPr>
        <w:spacing w:after="0" w:line="360" w:lineRule="auto"/>
        <w:ind w:left="630" w:hanging="630"/>
        <w:jc w:val="both"/>
        <w:rPr>
          <w:rFonts w:ascii="Times New Roman" w:eastAsia="Calibri" w:hAnsi="Times New Roman" w:cs="Times New Roman"/>
          <w:b/>
          <w:bCs/>
          <w:sz w:val="24"/>
          <w:szCs w:val="24"/>
          <w:lang w:val="en-GB"/>
        </w:rPr>
      </w:pPr>
      <w:r w:rsidRPr="00B34922">
        <w:rPr>
          <w:rFonts w:ascii="Times New Roman" w:eastAsia="Calibri" w:hAnsi="Times New Roman" w:cs="Times New Roman"/>
          <w:b/>
          <w:bCs/>
          <w:sz w:val="24"/>
          <w:szCs w:val="24"/>
          <w:lang w:val="en-GB"/>
        </w:rPr>
        <w:t>The Grounds Upon Which the Reliefs Are Sought:</w:t>
      </w: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color w:val="000000" w:themeColor="text1"/>
          <w:sz w:val="24"/>
          <w:szCs w:val="24"/>
          <w:lang w:val="en-GB"/>
        </w:rPr>
      </w:pPr>
      <w:r w:rsidRPr="00B34922">
        <w:rPr>
          <w:rFonts w:ascii="Times New Roman" w:eastAsia="Calibri" w:hAnsi="Times New Roman" w:cs="Times New Roman"/>
          <w:bCs/>
          <w:sz w:val="24"/>
          <w:szCs w:val="24"/>
          <w:lang w:val="en-GB"/>
        </w:rPr>
        <w:t xml:space="preserve">The appellant has been operating </w:t>
      </w:r>
      <w:r w:rsidRPr="00B34922">
        <w:rPr>
          <w:rFonts w:ascii="Times New Roman" w:eastAsia="Calibri" w:hAnsi="Times New Roman" w:cs="Times New Roman"/>
          <w:sz w:val="24"/>
          <w:szCs w:val="24"/>
          <w:lang w:val="en-GB"/>
        </w:rPr>
        <w:t>a</w:t>
      </w:r>
      <w:r w:rsidRPr="00B34922">
        <w:rPr>
          <w:rFonts w:ascii="Times New Roman" w:eastAsia="Calibri" w:hAnsi="Times New Roman" w:cs="Times New Roman"/>
          <w:color w:val="202124"/>
          <w:sz w:val="24"/>
          <w:szCs w:val="24"/>
          <w:shd w:val="clear" w:color="auto" w:fill="FFFFFF"/>
          <w:lang w:val="en-GB"/>
        </w:rPr>
        <w:t xml:space="preserve"> defined contribution scheme established by </w:t>
      </w:r>
      <w:r w:rsidRPr="00B34922">
        <w:rPr>
          <w:rFonts w:ascii="Times New Roman" w:eastAsia="Calibri" w:hAnsi="Times New Roman" w:cs="Times New Roman"/>
          <w:sz w:val="24"/>
          <w:szCs w:val="24"/>
          <w:lang w:val="en-GB"/>
        </w:rPr>
        <w:t>a Trust Deed dated 6</w:t>
      </w:r>
      <w:r w:rsidRPr="00B34922">
        <w:rPr>
          <w:rFonts w:ascii="Times New Roman" w:eastAsia="Calibri" w:hAnsi="Times New Roman" w:cs="Times New Roman"/>
          <w:sz w:val="24"/>
          <w:szCs w:val="24"/>
          <w:vertAlign w:val="superscript"/>
          <w:lang w:val="en-GB"/>
        </w:rPr>
        <w:t>th</w:t>
      </w:r>
      <w:r w:rsidRPr="00B34922">
        <w:rPr>
          <w:rFonts w:ascii="Times New Roman" w:eastAsia="Calibri" w:hAnsi="Times New Roman" w:cs="Times New Roman"/>
          <w:sz w:val="24"/>
          <w:szCs w:val="24"/>
          <w:lang w:val="en-GB"/>
        </w:rPr>
        <w:t xml:space="preserve"> October, 2006 and </w:t>
      </w:r>
      <w:r w:rsidRPr="00B34922">
        <w:rPr>
          <w:rFonts w:ascii="Times New Roman" w:eastAsia="Calibri" w:hAnsi="Times New Roman" w:cs="Times New Roman"/>
          <w:color w:val="202124"/>
          <w:sz w:val="24"/>
          <w:szCs w:val="24"/>
          <w:shd w:val="clear" w:color="auto" w:fill="FFFFFF"/>
          <w:lang w:val="en-GB"/>
        </w:rPr>
        <w:t xml:space="preserve">  registered by the Retirement Benefits Authority since the year 2007.</w:t>
      </w:r>
    </w:p>
    <w:p w:rsidR="00B34922" w:rsidRPr="00B34922" w:rsidRDefault="00B34922" w:rsidP="00B34922">
      <w:pPr>
        <w:spacing w:after="0" w:line="360" w:lineRule="auto"/>
        <w:ind w:left="360"/>
        <w:contextualSpacing/>
        <w:jc w:val="both"/>
        <w:rPr>
          <w:rFonts w:ascii="Times New Roman" w:eastAsia="Calibri" w:hAnsi="Times New Roman" w:cs="Times New Roman"/>
          <w:color w:val="000000" w:themeColor="text1"/>
          <w:sz w:val="24"/>
          <w:szCs w:val="24"/>
          <w:lang w:val="en-GB"/>
        </w:rPr>
      </w:pP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color w:val="000000" w:themeColor="text1"/>
          <w:sz w:val="24"/>
          <w:szCs w:val="24"/>
          <w:lang w:val="en-GB"/>
        </w:rPr>
      </w:pPr>
      <w:r w:rsidRPr="00B34922">
        <w:rPr>
          <w:rFonts w:ascii="Times New Roman" w:eastAsia="Calibri" w:hAnsi="Times New Roman" w:cs="Times New Roman"/>
          <w:color w:val="000000" w:themeColor="text1"/>
          <w:sz w:val="24"/>
          <w:szCs w:val="24"/>
          <w:lang w:val="en-GB"/>
        </w:rPr>
        <w:t>On the 30</w:t>
      </w:r>
      <w:r w:rsidRPr="00B34922">
        <w:rPr>
          <w:rFonts w:ascii="Times New Roman" w:eastAsia="Calibri" w:hAnsi="Times New Roman" w:cs="Times New Roman"/>
          <w:color w:val="000000" w:themeColor="text1"/>
          <w:sz w:val="24"/>
          <w:szCs w:val="24"/>
          <w:vertAlign w:val="superscript"/>
          <w:lang w:val="en-GB"/>
        </w:rPr>
        <w:t>th</w:t>
      </w:r>
      <w:r w:rsidRPr="00B34922">
        <w:rPr>
          <w:rFonts w:ascii="Times New Roman" w:eastAsia="Calibri" w:hAnsi="Times New Roman" w:cs="Times New Roman"/>
          <w:color w:val="000000" w:themeColor="text1"/>
          <w:sz w:val="24"/>
          <w:szCs w:val="24"/>
          <w:lang w:val="en-GB"/>
        </w:rPr>
        <w:t xml:space="preserve"> of August 2021, the appellant received a letter form the 1</w:t>
      </w:r>
      <w:r w:rsidRPr="00B34922">
        <w:rPr>
          <w:rFonts w:ascii="Times New Roman" w:eastAsia="Calibri" w:hAnsi="Times New Roman" w:cs="Times New Roman"/>
          <w:color w:val="000000" w:themeColor="text1"/>
          <w:sz w:val="24"/>
          <w:szCs w:val="24"/>
          <w:vertAlign w:val="superscript"/>
          <w:lang w:val="en-GB"/>
        </w:rPr>
        <w:t>st</w:t>
      </w:r>
      <w:r w:rsidRPr="00B34922">
        <w:rPr>
          <w:rFonts w:ascii="Times New Roman" w:eastAsia="Calibri" w:hAnsi="Times New Roman" w:cs="Times New Roman"/>
          <w:color w:val="000000" w:themeColor="text1"/>
          <w:sz w:val="24"/>
          <w:szCs w:val="24"/>
          <w:lang w:val="en-GB"/>
        </w:rPr>
        <w:t xml:space="preserve"> respondent containing the decision of the 2</w:t>
      </w:r>
      <w:r w:rsidRPr="00B34922">
        <w:rPr>
          <w:rFonts w:ascii="Times New Roman" w:eastAsia="Calibri" w:hAnsi="Times New Roman" w:cs="Times New Roman"/>
          <w:color w:val="000000" w:themeColor="text1"/>
          <w:sz w:val="24"/>
          <w:szCs w:val="24"/>
          <w:vertAlign w:val="superscript"/>
          <w:lang w:val="en-GB"/>
        </w:rPr>
        <w:t>nd</w:t>
      </w:r>
      <w:r w:rsidRPr="00B34922">
        <w:rPr>
          <w:rFonts w:ascii="Times New Roman" w:eastAsia="Calibri" w:hAnsi="Times New Roman" w:cs="Times New Roman"/>
          <w:color w:val="000000" w:themeColor="text1"/>
          <w:sz w:val="24"/>
          <w:szCs w:val="24"/>
          <w:lang w:val="en-GB"/>
        </w:rPr>
        <w:t xml:space="preserve"> respondent to the effect that the appellant had been deregistered.</w:t>
      </w:r>
    </w:p>
    <w:p w:rsidR="00B34922" w:rsidRPr="00B34922" w:rsidRDefault="00B34922" w:rsidP="00B34922">
      <w:pPr>
        <w:spacing w:after="0" w:line="360" w:lineRule="auto"/>
        <w:jc w:val="both"/>
        <w:rPr>
          <w:rFonts w:ascii="Times New Roman" w:eastAsia="Calibri" w:hAnsi="Times New Roman" w:cs="Times New Roman"/>
          <w:color w:val="000000" w:themeColor="text1"/>
          <w:sz w:val="24"/>
          <w:szCs w:val="24"/>
          <w:lang w:val="en-GB"/>
        </w:rPr>
      </w:pP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bCs/>
          <w:color w:val="000000" w:themeColor="text1"/>
          <w:sz w:val="24"/>
          <w:szCs w:val="24"/>
          <w:lang w:val="en-GB"/>
        </w:rPr>
      </w:pPr>
      <w:r w:rsidRPr="00B34922">
        <w:rPr>
          <w:rFonts w:ascii="Times New Roman" w:eastAsia="Calibri" w:hAnsi="Times New Roman" w:cs="Times New Roman"/>
          <w:color w:val="000000" w:themeColor="text1"/>
          <w:sz w:val="24"/>
          <w:szCs w:val="24"/>
          <w:lang w:val="en-GB"/>
        </w:rPr>
        <w:t>The reason for the said deregistration was given as discovery that the appellant was not registered as an irrevocable trust contrary to section 23 of the Act.</w:t>
      </w:r>
    </w:p>
    <w:p w:rsidR="00B34922" w:rsidRPr="00B34922" w:rsidRDefault="00B34922" w:rsidP="00B34922">
      <w:pPr>
        <w:spacing w:after="0" w:line="360" w:lineRule="auto"/>
        <w:jc w:val="both"/>
        <w:rPr>
          <w:rFonts w:ascii="Times New Roman" w:eastAsia="Calibri" w:hAnsi="Times New Roman" w:cs="Times New Roman"/>
          <w:bCs/>
          <w:color w:val="000000" w:themeColor="text1"/>
          <w:sz w:val="24"/>
          <w:szCs w:val="24"/>
          <w:lang w:val="en-GB"/>
        </w:rPr>
      </w:pP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bCs/>
          <w:color w:val="000000" w:themeColor="text1"/>
          <w:sz w:val="24"/>
          <w:szCs w:val="24"/>
          <w:lang w:val="en-GB"/>
        </w:rPr>
      </w:pPr>
      <w:r w:rsidRPr="00B34922">
        <w:rPr>
          <w:rFonts w:ascii="Times New Roman" w:eastAsia="Calibri" w:hAnsi="Times New Roman" w:cs="Times New Roman"/>
          <w:color w:val="000000" w:themeColor="text1"/>
          <w:sz w:val="24"/>
          <w:szCs w:val="24"/>
          <w:lang w:val="en-GB"/>
        </w:rPr>
        <w:t xml:space="preserve">The Act provides that </w:t>
      </w:r>
      <w:r w:rsidRPr="00B34922">
        <w:rPr>
          <w:rFonts w:ascii="Times New Roman" w:eastAsia="Calibri" w:hAnsi="Times New Roman" w:cs="Times New Roman"/>
          <w:sz w:val="24"/>
          <w:szCs w:val="24"/>
          <w:lang w:val="en-GB"/>
        </w:rPr>
        <w:t xml:space="preserve">every scheme, other than a scheme established by a written law shall be established under an irrevocable trust. </w:t>
      </w:r>
    </w:p>
    <w:p w:rsidR="00B34922" w:rsidRPr="00B34922" w:rsidRDefault="00B34922" w:rsidP="00B34922">
      <w:pPr>
        <w:spacing w:after="0" w:line="360" w:lineRule="auto"/>
        <w:jc w:val="both"/>
        <w:rPr>
          <w:rFonts w:ascii="Times New Roman" w:eastAsia="Calibri" w:hAnsi="Times New Roman" w:cs="Times New Roman"/>
          <w:bCs/>
          <w:color w:val="000000" w:themeColor="text1"/>
          <w:sz w:val="24"/>
          <w:szCs w:val="24"/>
          <w:lang w:val="en-GB"/>
        </w:rPr>
      </w:pP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bCs/>
          <w:color w:val="000000" w:themeColor="text1"/>
          <w:sz w:val="24"/>
          <w:szCs w:val="24"/>
          <w:lang w:val="en-GB"/>
        </w:rPr>
      </w:pPr>
      <w:r w:rsidRPr="00B34922">
        <w:rPr>
          <w:rFonts w:ascii="Times New Roman" w:eastAsia="Calibri" w:hAnsi="Times New Roman" w:cs="Times New Roman"/>
          <w:sz w:val="24"/>
          <w:szCs w:val="24"/>
          <w:lang w:val="en-GB"/>
        </w:rPr>
        <w:t>At the point of seeking for registration the appellant was aware of the provisions of the law and was established as an irrevocable trust and has never changed or altered the regime of its registration.</w:t>
      </w:r>
    </w:p>
    <w:p w:rsidR="00B34922" w:rsidRPr="00B34922" w:rsidRDefault="00B34922" w:rsidP="00B34922">
      <w:pPr>
        <w:spacing w:after="0" w:line="360" w:lineRule="auto"/>
        <w:jc w:val="both"/>
        <w:rPr>
          <w:rFonts w:ascii="Times New Roman" w:eastAsia="Calibri" w:hAnsi="Times New Roman" w:cs="Times New Roman"/>
          <w:bCs/>
          <w:color w:val="000000" w:themeColor="text1"/>
          <w:sz w:val="24"/>
          <w:szCs w:val="24"/>
          <w:lang w:val="en-GB"/>
        </w:rPr>
      </w:pP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bCs/>
          <w:color w:val="000000" w:themeColor="text1"/>
          <w:sz w:val="24"/>
          <w:szCs w:val="24"/>
          <w:lang w:val="en-GB"/>
        </w:rPr>
      </w:pPr>
      <w:r w:rsidRPr="00B34922">
        <w:rPr>
          <w:rFonts w:ascii="Times New Roman" w:eastAsia="Calibri" w:hAnsi="Times New Roman" w:cs="Times New Roman"/>
          <w:color w:val="000000" w:themeColor="text1"/>
          <w:sz w:val="24"/>
          <w:szCs w:val="24"/>
          <w:lang w:val="en-GB"/>
        </w:rPr>
        <w:t>It therefore came as a shock to the appellant as the appellant had always known that it was registered as an irrevocable trust and that was one of the requirements for registration as a scheme under the Act.</w:t>
      </w:r>
    </w:p>
    <w:p w:rsidR="00B34922" w:rsidRPr="00B34922" w:rsidRDefault="00B34922" w:rsidP="00B34922">
      <w:pPr>
        <w:spacing w:after="0" w:line="360" w:lineRule="auto"/>
        <w:jc w:val="both"/>
        <w:rPr>
          <w:rFonts w:ascii="Times New Roman" w:eastAsia="Calibri" w:hAnsi="Times New Roman" w:cs="Times New Roman"/>
          <w:bCs/>
          <w:color w:val="000000" w:themeColor="text1"/>
          <w:sz w:val="24"/>
          <w:szCs w:val="24"/>
          <w:lang w:val="en-GB"/>
        </w:rPr>
      </w:pPr>
    </w:p>
    <w:p w:rsidR="00B34922" w:rsidRPr="00B34922" w:rsidRDefault="00B34922" w:rsidP="00B34922">
      <w:pPr>
        <w:numPr>
          <w:ilvl w:val="0"/>
          <w:numId w:val="1"/>
        </w:numPr>
        <w:spacing w:after="0" w:line="360" w:lineRule="auto"/>
        <w:contextualSpacing/>
        <w:jc w:val="both"/>
        <w:rPr>
          <w:rFonts w:ascii="Times New Roman" w:eastAsia="Calibri" w:hAnsi="Times New Roman" w:cs="Times New Roman"/>
          <w:bCs/>
          <w:color w:val="000000" w:themeColor="text1"/>
          <w:sz w:val="24"/>
          <w:szCs w:val="24"/>
          <w:lang w:val="en-GB"/>
        </w:rPr>
      </w:pPr>
      <w:r w:rsidRPr="00B34922">
        <w:rPr>
          <w:rFonts w:ascii="Times New Roman" w:eastAsia="Calibri" w:hAnsi="Times New Roman" w:cs="Times New Roman"/>
          <w:color w:val="000000" w:themeColor="text1"/>
          <w:sz w:val="24"/>
          <w:szCs w:val="24"/>
          <w:lang w:val="en-GB"/>
        </w:rPr>
        <w:t>In a bid to remedy the situation the appellant retrieved all the original documents used for registration and went to the respondents to seek audience and tender evidence to the effect that the it was registered as an irrevocable trust.</w:t>
      </w:r>
    </w:p>
    <w:p w:rsidR="00B34922" w:rsidRPr="00B34922" w:rsidRDefault="00B34922" w:rsidP="00B34922">
      <w:pPr>
        <w:spacing w:after="0" w:line="360" w:lineRule="auto"/>
        <w:jc w:val="both"/>
        <w:rPr>
          <w:rFonts w:ascii="Times New Roman" w:eastAsia="Calibri" w:hAnsi="Times New Roman" w:cs="Times New Roman"/>
          <w:bCs/>
          <w:color w:val="000000" w:themeColor="text1"/>
          <w:sz w:val="24"/>
          <w:szCs w:val="24"/>
          <w:lang w:val="en-GB"/>
        </w:rPr>
      </w:pPr>
    </w:p>
    <w:p w:rsidR="00B34922" w:rsidRPr="00B34922" w:rsidRDefault="00B34922" w:rsidP="00B34922">
      <w:pPr>
        <w:numPr>
          <w:ilvl w:val="0"/>
          <w:numId w:val="3"/>
        </w:numPr>
        <w:spacing w:after="0" w:line="360" w:lineRule="auto"/>
        <w:contextualSpacing/>
        <w:jc w:val="both"/>
        <w:rPr>
          <w:rFonts w:ascii="Times New Roman" w:eastAsia="Calibri" w:hAnsi="Times New Roman" w:cs="Times New Roman"/>
          <w:bCs/>
          <w:color w:val="000000" w:themeColor="text1"/>
          <w:sz w:val="24"/>
          <w:szCs w:val="24"/>
          <w:lang w:val="en-GB"/>
        </w:rPr>
      </w:pPr>
      <w:r w:rsidRPr="00B34922">
        <w:rPr>
          <w:rFonts w:ascii="Times New Roman" w:eastAsia="Calibri" w:hAnsi="Times New Roman" w:cs="Times New Roman"/>
          <w:color w:val="000000" w:themeColor="text1"/>
          <w:sz w:val="24"/>
          <w:szCs w:val="24"/>
          <w:lang w:val="en-GB"/>
        </w:rPr>
        <w:t>The 1</w:t>
      </w:r>
      <w:r w:rsidRPr="00B34922">
        <w:rPr>
          <w:rFonts w:ascii="Times New Roman" w:eastAsia="Calibri" w:hAnsi="Times New Roman" w:cs="Times New Roman"/>
          <w:color w:val="000000" w:themeColor="text1"/>
          <w:sz w:val="24"/>
          <w:szCs w:val="24"/>
          <w:vertAlign w:val="superscript"/>
          <w:lang w:val="en-GB"/>
        </w:rPr>
        <w:t>st</w:t>
      </w:r>
      <w:r w:rsidRPr="00B34922">
        <w:rPr>
          <w:rFonts w:ascii="Times New Roman" w:eastAsia="Calibri" w:hAnsi="Times New Roman" w:cs="Times New Roman"/>
          <w:color w:val="000000" w:themeColor="text1"/>
          <w:sz w:val="24"/>
          <w:szCs w:val="24"/>
          <w:lang w:val="en-GB"/>
        </w:rPr>
        <w:t xml:space="preserve"> respondent refused the appellant audience and reiterated that the decision of the of 2</w:t>
      </w:r>
      <w:r w:rsidRPr="00B34922">
        <w:rPr>
          <w:rFonts w:ascii="Times New Roman" w:eastAsia="Calibri" w:hAnsi="Times New Roman" w:cs="Times New Roman"/>
          <w:color w:val="000000" w:themeColor="text1"/>
          <w:sz w:val="24"/>
          <w:szCs w:val="24"/>
          <w:vertAlign w:val="superscript"/>
          <w:lang w:val="en-GB"/>
        </w:rPr>
        <w:t>nd</w:t>
      </w:r>
      <w:r w:rsidRPr="00B34922">
        <w:rPr>
          <w:rFonts w:ascii="Times New Roman" w:eastAsia="Calibri" w:hAnsi="Times New Roman" w:cs="Times New Roman"/>
          <w:color w:val="000000" w:themeColor="text1"/>
          <w:sz w:val="24"/>
          <w:szCs w:val="24"/>
          <w:lang w:val="en-GB"/>
        </w:rPr>
        <w:t xml:space="preserve"> respondent was final.</w:t>
      </w:r>
    </w:p>
    <w:p w:rsidR="00B34922" w:rsidRPr="00B34922" w:rsidRDefault="00B34922" w:rsidP="00B34922">
      <w:pPr>
        <w:spacing w:after="0" w:line="360" w:lineRule="auto"/>
        <w:ind w:left="360"/>
        <w:contextualSpacing/>
        <w:jc w:val="both"/>
        <w:rPr>
          <w:rFonts w:ascii="Times New Roman" w:eastAsia="Calibri" w:hAnsi="Times New Roman" w:cs="Times New Roman"/>
          <w:bCs/>
          <w:color w:val="000000" w:themeColor="text1"/>
          <w:sz w:val="24"/>
          <w:szCs w:val="24"/>
          <w:lang w:val="en-GB"/>
        </w:rPr>
      </w:pPr>
    </w:p>
    <w:p w:rsidR="00B34922" w:rsidRPr="00B34922" w:rsidRDefault="00B34922" w:rsidP="00B34922">
      <w:pPr>
        <w:numPr>
          <w:ilvl w:val="0"/>
          <w:numId w:val="3"/>
        </w:numPr>
        <w:spacing w:after="0" w:line="360" w:lineRule="auto"/>
        <w:contextualSpacing/>
        <w:jc w:val="both"/>
        <w:rPr>
          <w:rFonts w:ascii="Times New Roman" w:eastAsia="Calibri" w:hAnsi="Times New Roman" w:cs="Times New Roman"/>
          <w:bCs/>
          <w:color w:val="000000" w:themeColor="text1"/>
          <w:sz w:val="24"/>
          <w:szCs w:val="24"/>
          <w:lang w:val="en-GB"/>
        </w:rPr>
      </w:pPr>
      <w:r w:rsidRPr="00B34922">
        <w:rPr>
          <w:rFonts w:ascii="Times New Roman" w:eastAsia="Calibri" w:hAnsi="Times New Roman" w:cs="Times New Roman"/>
          <w:color w:val="000000" w:themeColor="text1"/>
          <w:sz w:val="24"/>
          <w:szCs w:val="24"/>
          <w:lang w:val="en-GB"/>
        </w:rPr>
        <w:t xml:space="preserve">The refusal to give the appellant a hearing was against the requirement that before the Respondents </w:t>
      </w:r>
      <w:r w:rsidRPr="00B34922">
        <w:rPr>
          <w:rFonts w:ascii="Times New Roman" w:eastAsia="Calibri" w:hAnsi="Times New Roman" w:cs="Times New Roman"/>
          <w:sz w:val="24"/>
          <w:szCs w:val="24"/>
          <w:lang w:val="en-GB"/>
        </w:rPr>
        <w:t>deregisters a scheme under the Act, the trustees, sponsors and members of the scheme must be given at least twenty-eight days’ notice of its intention to deregister in the prescribed form.</w:t>
      </w:r>
    </w:p>
    <w:p w:rsidR="00B34922" w:rsidRPr="00B34922" w:rsidRDefault="00B34922" w:rsidP="00B34922">
      <w:pPr>
        <w:spacing w:after="0" w:line="360" w:lineRule="auto"/>
        <w:jc w:val="both"/>
        <w:rPr>
          <w:rFonts w:ascii="Times New Roman" w:eastAsia="Calibri" w:hAnsi="Times New Roman" w:cs="Times New Roman"/>
          <w:bCs/>
          <w:color w:val="000000" w:themeColor="text1"/>
          <w:sz w:val="24"/>
          <w:szCs w:val="24"/>
          <w:lang w:val="en-GB"/>
        </w:rPr>
      </w:pPr>
    </w:p>
    <w:p w:rsidR="00B34922" w:rsidRPr="00B34922" w:rsidRDefault="00B34922" w:rsidP="00B34922">
      <w:pPr>
        <w:numPr>
          <w:ilvl w:val="0"/>
          <w:numId w:val="3"/>
        </w:numPr>
        <w:spacing w:after="0" w:line="360" w:lineRule="auto"/>
        <w:contextualSpacing/>
        <w:jc w:val="both"/>
        <w:rPr>
          <w:rFonts w:ascii="Times New Roman" w:eastAsia="Calibri" w:hAnsi="Times New Roman" w:cs="Times New Roman"/>
          <w:bCs/>
          <w:color w:val="000000" w:themeColor="text1"/>
          <w:sz w:val="24"/>
          <w:szCs w:val="24"/>
          <w:lang w:val="en-GB"/>
        </w:rPr>
      </w:pPr>
      <w:r w:rsidRPr="00B34922">
        <w:rPr>
          <w:rFonts w:ascii="Times New Roman" w:eastAsia="Calibri" w:hAnsi="Times New Roman" w:cs="Times New Roman"/>
          <w:sz w:val="24"/>
          <w:szCs w:val="24"/>
          <w:lang w:val="en-GB"/>
        </w:rPr>
        <w:lastRenderedPageBreak/>
        <w:t>During that notice period the 2</w:t>
      </w:r>
      <w:r w:rsidRPr="00B34922">
        <w:rPr>
          <w:rFonts w:ascii="Times New Roman" w:eastAsia="Calibri" w:hAnsi="Times New Roman" w:cs="Times New Roman"/>
          <w:sz w:val="24"/>
          <w:szCs w:val="24"/>
          <w:vertAlign w:val="superscript"/>
          <w:lang w:val="en-GB"/>
        </w:rPr>
        <w:t>nd</w:t>
      </w:r>
      <w:r w:rsidRPr="00B34922">
        <w:rPr>
          <w:rFonts w:ascii="Times New Roman" w:eastAsia="Calibri" w:hAnsi="Times New Roman" w:cs="Times New Roman"/>
          <w:sz w:val="24"/>
          <w:szCs w:val="24"/>
          <w:lang w:val="en-GB"/>
        </w:rPr>
        <w:t xml:space="preserve"> Respondent is required to consider any representations made to it in writing by the trustees, sponsors or members of the scheme before making a decision to deregister.</w:t>
      </w:r>
    </w:p>
    <w:p w:rsidR="00B34922" w:rsidRPr="00B34922" w:rsidRDefault="00B34922" w:rsidP="00B34922">
      <w:pPr>
        <w:spacing w:after="0" w:line="360" w:lineRule="auto"/>
        <w:jc w:val="both"/>
        <w:rPr>
          <w:rFonts w:ascii="Times New Roman" w:eastAsia="Calibri" w:hAnsi="Times New Roman" w:cs="Times New Roman"/>
          <w:bCs/>
          <w:color w:val="000000" w:themeColor="text1"/>
          <w:sz w:val="24"/>
          <w:szCs w:val="24"/>
          <w:lang w:val="en-GB"/>
        </w:rPr>
      </w:pPr>
    </w:p>
    <w:p w:rsidR="00B34922" w:rsidRPr="00B34922" w:rsidRDefault="00B34922" w:rsidP="00B34922">
      <w:pPr>
        <w:numPr>
          <w:ilvl w:val="0"/>
          <w:numId w:val="3"/>
        </w:numPr>
        <w:spacing w:after="0" w:line="360" w:lineRule="auto"/>
        <w:contextualSpacing/>
        <w:jc w:val="both"/>
        <w:rPr>
          <w:rFonts w:ascii="Times New Roman" w:eastAsia="Calibri" w:hAnsi="Times New Roman" w:cs="Times New Roman"/>
          <w:bCs/>
          <w:color w:val="000000" w:themeColor="text1"/>
          <w:sz w:val="24"/>
          <w:szCs w:val="24"/>
          <w:lang w:val="en-GB"/>
        </w:rPr>
      </w:pPr>
      <w:r w:rsidRPr="00B34922">
        <w:rPr>
          <w:rFonts w:ascii="Times New Roman" w:eastAsia="Times New Roman" w:hAnsi="Times New Roman" w:cs="Times New Roman"/>
          <w:color w:val="000000" w:themeColor="text1"/>
          <w:sz w:val="24"/>
          <w:szCs w:val="24"/>
        </w:rPr>
        <w:t>The Appellant unable to make any progress with having the respondent apply dues process and being equally apprehensive that the respondents may commence the process of distributing the benefits and assets of the scheme, made a decision to appeal to this Honourable tribunal.</w:t>
      </w:r>
    </w:p>
    <w:p w:rsidR="00B34922" w:rsidRPr="00B34922" w:rsidRDefault="00B34922" w:rsidP="00B34922">
      <w:pPr>
        <w:spacing w:after="0" w:line="360" w:lineRule="auto"/>
        <w:jc w:val="both"/>
        <w:rPr>
          <w:rFonts w:ascii="Times New Roman" w:eastAsia="Calibri" w:hAnsi="Times New Roman" w:cs="Times New Roman"/>
          <w:bCs/>
          <w:color w:val="000000" w:themeColor="text1"/>
          <w:sz w:val="24"/>
          <w:szCs w:val="24"/>
          <w:lang w:val="en-GB"/>
        </w:rPr>
      </w:pPr>
    </w:p>
    <w:p w:rsidR="00B34922" w:rsidRPr="00B34922" w:rsidRDefault="00B34922" w:rsidP="00B34922">
      <w:pPr>
        <w:numPr>
          <w:ilvl w:val="0"/>
          <w:numId w:val="3"/>
        </w:numPr>
        <w:shd w:val="clear" w:color="auto" w:fill="FFFFFF"/>
        <w:spacing w:after="0" w:line="360" w:lineRule="auto"/>
        <w:contextualSpacing/>
        <w:jc w:val="both"/>
        <w:rPr>
          <w:rFonts w:ascii="Times New Roman" w:eastAsia="Calibri" w:hAnsi="Times New Roman" w:cs="Times New Roman"/>
          <w:sz w:val="24"/>
          <w:szCs w:val="24"/>
          <w:lang w:val="en-GB"/>
        </w:rPr>
      </w:pPr>
      <w:r w:rsidRPr="00B34922">
        <w:rPr>
          <w:rFonts w:ascii="Times New Roman" w:eastAsia="Times New Roman" w:hAnsi="Times New Roman" w:cs="Times New Roman"/>
          <w:color w:val="000000" w:themeColor="text1"/>
          <w:sz w:val="24"/>
          <w:szCs w:val="24"/>
        </w:rPr>
        <w:t>The Respondents decision rendered through the 1</w:t>
      </w:r>
      <w:r w:rsidRPr="00B34922">
        <w:rPr>
          <w:rFonts w:ascii="Times New Roman" w:eastAsia="Times New Roman" w:hAnsi="Times New Roman" w:cs="Times New Roman"/>
          <w:color w:val="000000" w:themeColor="text1"/>
          <w:sz w:val="24"/>
          <w:szCs w:val="24"/>
          <w:vertAlign w:val="superscript"/>
        </w:rPr>
        <w:t>st</w:t>
      </w:r>
      <w:r w:rsidRPr="00B34922">
        <w:rPr>
          <w:rFonts w:ascii="Times New Roman" w:eastAsia="Times New Roman" w:hAnsi="Times New Roman" w:cs="Times New Roman"/>
          <w:color w:val="000000" w:themeColor="text1"/>
          <w:sz w:val="24"/>
          <w:szCs w:val="24"/>
        </w:rPr>
        <w:t xml:space="preserve"> Respondents letter dated 30</w:t>
      </w:r>
      <w:r w:rsidRPr="00B34922">
        <w:rPr>
          <w:rFonts w:ascii="Times New Roman" w:eastAsia="Times New Roman" w:hAnsi="Times New Roman" w:cs="Times New Roman"/>
          <w:color w:val="000000" w:themeColor="text1"/>
          <w:sz w:val="24"/>
          <w:szCs w:val="24"/>
          <w:vertAlign w:val="superscript"/>
        </w:rPr>
        <w:t>th</w:t>
      </w:r>
      <w:r w:rsidRPr="00B34922">
        <w:rPr>
          <w:rFonts w:ascii="Times New Roman" w:eastAsia="Times New Roman" w:hAnsi="Times New Roman" w:cs="Times New Roman"/>
          <w:color w:val="000000" w:themeColor="text1"/>
          <w:sz w:val="24"/>
          <w:szCs w:val="24"/>
        </w:rPr>
        <w:t xml:space="preserve"> August 2021 to deregister the appellant was not backed by facts and the law as the respondent never verified with the registry of deeds to confirm the authenticity of the trust deed issued to the appellant.</w:t>
      </w:r>
    </w:p>
    <w:p w:rsidR="00B34922" w:rsidRPr="00B34922" w:rsidRDefault="00B34922" w:rsidP="00B34922">
      <w:pPr>
        <w:numPr>
          <w:ilvl w:val="0"/>
          <w:numId w:val="3"/>
        </w:numPr>
        <w:shd w:val="clear" w:color="auto" w:fill="FFFFFF"/>
        <w:spacing w:after="0" w:line="360" w:lineRule="auto"/>
        <w:contextualSpacing/>
        <w:jc w:val="both"/>
        <w:rPr>
          <w:rFonts w:ascii="Times New Roman" w:eastAsia="Calibri" w:hAnsi="Times New Roman" w:cs="Times New Roman"/>
          <w:sz w:val="24"/>
          <w:szCs w:val="24"/>
          <w:lang w:val="en-GB"/>
        </w:rPr>
      </w:pPr>
      <w:r w:rsidRPr="00B34922">
        <w:rPr>
          <w:rFonts w:ascii="Times New Roman" w:eastAsia="Times New Roman" w:hAnsi="Times New Roman" w:cs="Times New Roman"/>
          <w:color w:val="000000" w:themeColor="text1"/>
          <w:sz w:val="24"/>
          <w:szCs w:val="24"/>
        </w:rPr>
        <w:t>Had the appellant carried out a verification at with the registry of documents it would not have arrived at a decision to deregister the appellant on the basis of</w:t>
      </w:r>
      <w:r w:rsidRPr="00B34922">
        <w:rPr>
          <w:rFonts w:ascii="Times New Roman" w:eastAsia="Calibri" w:hAnsi="Times New Roman" w:cs="Times New Roman"/>
          <w:sz w:val="24"/>
          <w:szCs w:val="24"/>
          <w:lang w:val="en-GB"/>
        </w:rPr>
        <w:t xml:space="preserve"> discovery that the scheme was not registered under an irrevocable trust.</w:t>
      </w:r>
    </w:p>
    <w:p w:rsidR="00B34922" w:rsidRPr="00B34922" w:rsidRDefault="00B34922" w:rsidP="00B34922">
      <w:pPr>
        <w:shd w:val="clear" w:color="auto" w:fill="FFFFFF"/>
        <w:spacing w:after="0" w:line="360" w:lineRule="auto"/>
        <w:jc w:val="both"/>
        <w:rPr>
          <w:rFonts w:ascii="Times New Roman" w:eastAsia="Calibri" w:hAnsi="Times New Roman" w:cs="Times New Roman"/>
          <w:sz w:val="24"/>
          <w:szCs w:val="24"/>
          <w:lang w:val="en-GB"/>
        </w:rPr>
      </w:pPr>
    </w:p>
    <w:p w:rsidR="00B34922" w:rsidRPr="00B34922" w:rsidRDefault="00B34922" w:rsidP="00B34922">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r w:rsidRPr="00B34922">
        <w:rPr>
          <w:rFonts w:ascii="Times New Roman" w:eastAsia="Calibri" w:hAnsi="Times New Roman" w:cs="Times New Roman"/>
          <w:bCs/>
          <w:color w:val="000000" w:themeColor="text1"/>
          <w:sz w:val="24"/>
          <w:szCs w:val="24"/>
          <w:lang w:val="en-GB"/>
        </w:rPr>
        <w:t>The decision to deregister the appellant violated the rules of natural justice as it was reached without affording the appellant an opportunity to be heard.</w:t>
      </w:r>
    </w:p>
    <w:p w:rsidR="00B34922" w:rsidRPr="00B34922" w:rsidRDefault="00B34922" w:rsidP="00B34922">
      <w:pPr>
        <w:spacing w:after="0" w:line="360" w:lineRule="auto"/>
        <w:ind w:left="360"/>
        <w:contextualSpacing/>
        <w:jc w:val="both"/>
        <w:rPr>
          <w:rFonts w:ascii="Times New Roman" w:eastAsia="Times New Roman" w:hAnsi="Times New Roman" w:cs="Times New Roman"/>
          <w:color w:val="000000" w:themeColor="text1"/>
          <w:sz w:val="24"/>
          <w:szCs w:val="24"/>
        </w:rPr>
      </w:pPr>
    </w:p>
    <w:p w:rsidR="00B34922" w:rsidRPr="00B34922" w:rsidRDefault="00B34922" w:rsidP="00B34922">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r w:rsidRPr="00B34922">
        <w:rPr>
          <w:rFonts w:ascii="Times New Roman" w:eastAsia="Calibri" w:hAnsi="Times New Roman" w:cs="Times New Roman"/>
          <w:bCs/>
          <w:color w:val="000000" w:themeColor="text1"/>
          <w:sz w:val="24"/>
          <w:szCs w:val="24"/>
          <w:lang w:val="en-GB"/>
        </w:rPr>
        <w:t>The decision to deregister the Appellant violated its right to Fair Administration Action under Articles 47 of the Constitution and the Fair Administrative Action Act, 2015.</w:t>
      </w:r>
    </w:p>
    <w:p w:rsidR="00B34922" w:rsidRPr="00B34922" w:rsidRDefault="00B34922" w:rsidP="00B34922">
      <w:pPr>
        <w:keepNext/>
        <w:overflowPunct w:val="0"/>
        <w:autoSpaceDE w:val="0"/>
        <w:autoSpaceDN w:val="0"/>
        <w:adjustRightInd w:val="0"/>
        <w:spacing w:after="0" w:line="360" w:lineRule="auto"/>
        <w:textAlignment w:val="baseline"/>
        <w:outlineLvl w:val="1"/>
        <w:rPr>
          <w:rFonts w:ascii="Times New Roman" w:eastAsia="Times New Roman" w:hAnsi="Times New Roman" w:cs="Times New Roman"/>
          <w:sz w:val="24"/>
          <w:szCs w:val="24"/>
          <w:lang w:val="en-GB"/>
        </w:rPr>
      </w:pPr>
    </w:p>
    <w:p w:rsidR="00B34922" w:rsidRPr="00B34922" w:rsidRDefault="00B34922" w:rsidP="00B34922">
      <w:pPr>
        <w:spacing w:after="0" w:line="360" w:lineRule="auto"/>
        <w:jc w:val="both"/>
        <w:rPr>
          <w:rFonts w:ascii="Times New Roman" w:eastAsia="Calibri" w:hAnsi="Times New Roman" w:cs="Times New Roman"/>
          <w:sz w:val="24"/>
          <w:szCs w:val="24"/>
          <w:lang w:val="en-GB"/>
        </w:rPr>
      </w:pPr>
      <w:r w:rsidRPr="00B34922">
        <w:rPr>
          <w:rFonts w:ascii="Times New Roman" w:eastAsia="Calibri" w:hAnsi="Times New Roman" w:cs="Times New Roman"/>
          <w:sz w:val="24"/>
          <w:szCs w:val="24"/>
          <w:u w:val="single"/>
          <w:lang w:val="en-GB"/>
        </w:rPr>
        <w:t>DATED</w:t>
      </w:r>
      <w:r w:rsidRPr="00B34922">
        <w:rPr>
          <w:rFonts w:ascii="Times New Roman" w:eastAsia="Calibri" w:hAnsi="Times New Roman" w:cs="Times New Roman"/>
          <w:sz w:val="24"/>
          <w:szCs w:val="24"/>
          <w:lang w:val="en-GB"/>
        </w:rPr>
        <w:t xml:space="preserve"> at </w:t>
      </w:r>
      <w:r w:rsidRPr="00B34922">
        <w:rPr>
          <w:rFonts w:ascii="Times New Roman" w:eastAsia="Calibri" w:hAnsi="Times New Roman" w:cs="Times New Roman"/>
          <w:sz w:val="24"/>
          <w:szCs w:val="24"/>
          <w:u w:val="single"/>
          <w:lang w:val="en-GB"/>
        </w:rPr>
        <w:t>NAIROBI</w:t>
      </w:r>
      <w:r w:rsidRPr="00B34922">
        <w:rPr>
          <w:rFonts w:ascii="Times New Roman" w:eastAsia="Calibri" w:hAnsi="Times New Roman" w:cs="Times New Roman"/>
          <w:sz w:val="24"/>
          <w:szCs w:val="24"/>
          <w:lang w:val="en-GB"/>
        </w:rPr>
        <w:t xml:space="preserve"> this ____________________ day of ____________________, 2021</w:t>
      </w:r>
    </w:p>
    <w:p w:rsidR="00B34922" w:rsidRPr="00B34922" w:rsidRDefault="00B34922" w:rsidP="00B34922">
      <w:pPr>
        <w:spacing w:after="0" w:line="360" w:lineRule="auto"/>
        <w:jc w:val="both"/>
        <w:rPr>
          <w:rFonts w:ascii="Times New Roman" w:eastAsia="Calibri" w:hAnsi="Times New Roman" w:cs="Times New Roman"/>
          <w:sz w:val="24"/>
          <w:szCs w:val="24"/>
          <w:lang w:val="en-GB"/>
        </w:rPr>
      </w:pPr>
    </w:p>
    <w:p w:rsidR="00B34922" w:rsidRPr="00B34922" w:rsidRDefault="00B34922" w:rsidP="00B34922">
      <w:pPr>
        <w:spacing w:after="0" w:line="360" w:lineRule="auto"/>
        <w:jc w:val="center"/>
        <w:rPr>
          <w:rFonts w:ascii="Times New Roman" w:eastAsia="Calibri" w:hAnsi="Times New Roman" w:cs="Times New Roman"/>
          <w:sz w:val="24"/>
          <w:szCs w:val="24"/>
          <w:lang w:val="en-GB"/>
        </w:rPr>
      </w:pPr>
      <w:r w:rsidRPr="00B34922">
        <w:rPr>
          <w:rFonts w:ascii="Times New Roman" w:eastAsia="Calibri" w:hAnsi="Times New Roman" w:cs="Times New Roman"/>
          <w:sz w:val="24"/>
          <w:szCs w:val="24"/>
          <w:lang w:val="en-GB"/>
        </w:rPr>
        <w:t>CM ADVOCATES LLP</w:t>
      </w:r>
    </w:p>
    <w:p w:rsidR="00B34922" w:rsidRPr="00B34922" w:rsidRDefault="00B34922" w:rsidP="00B34922">
      <w:pPr>
        <w:spacing w:after="0" w:line="360" w:lineRule="auto"/>
        <w:jc w:val="center"/>
        <w:rPr>
          <w:rFonts w:ascii="Times New Roman" w:eastAsia="Calibri" w:hAnsi="Times New Roman" w:cs="Times New Roman"/>
          <w:sz w:val="24"/>
          <w:szCs w:val="24"/>
          <w:u w:val="single"/>
          <w:lang w:val="en-GB"/>
        </w:rPr>
      </w:pPr>
      <w:r w:rsidRPr="00B34922">
        <w:rPr>
          <w:rFonts w:ascii="Times New Roman" w:eastAsia="Calibri" w:hAnsi="Times New Roman" w:cs="Times New Roman"/>
          <w:sz w:val="24"/>
          <w:szCs w:val="24"/>
          <w:u w:val="single"/>
          <w:lang w:val="en-GB"/>
        </w:rPr>
        <w:t>ADVOCATES FOR THE APPELLANT</w:t>
      </w:r>
    </w:p>
    <w:p w:rsidR="00B34922" w:rsidRPr="00B34922" w:rsidRDefault="00B34922" w:rsidP="00B34922">
      <w:pPr>
        <w:spacing w:after="0" w:line="360" w:lineRule="auto"/>
        <w:jc w:val="center"/>
        <w:rPr>
          <w:rFonts w:ascii="Times New Roman" w:eastAsia="Calibri" w:hAnsi="Times New Roman" w:cs="Times New Roman"/>
          <w:b/>
          <w:sz w:val="24"/>
          <w:szCs w:val="24"/>
          <w:lang w:val="en-GB"/>
        </w:rPr>
      </w:pPr>
      <w:r w:rsidRPr="00B34922">
        <w:rPr>
          <w:rFonts w:ascii="Times New Roman" w:eastAsia="Calibri" w:hAnsi="Times New Roman" w:cs="Times New Roman"/>
          <w:bCs/>
          <w:sz w:val="24"/>
          <w:szCs w:val="24"/>
          <w:lang w:val="en-GB"/>
        </w:rPr>
        <w:t>(Cyrus Maina, Practice No.</w:t>
      </w:r>
      <w:r w:rsidRPr="00B34922">
        <w:rPr>
          <w:rFonts w:ascii="Times New Roman" w:hAnsi="Times New Roman" w:cs="Times New Roman"/>
          <w:b/>
          <w:bCs/>
          <w:color w:val="5B9BD5" w:themeColor="accent1"/>
          <w:sz w:val="24"/>
          <w:szCs w:val="24"/>
          <w:shd w:val="clear" w:color="auto" w:fill="FFFFFF"/>
          <w:lang w:val="en-GB"/>
        </w:rPr>
        <w:t xml:space="preserve"> </w:t>
      </w:r>
      <w:r w:rsidRPr="00B34922">
        <w:rPr>
          <w:rFonts w:ascii="Times New Roman" w:eastAsia="Calibri" w:hAnsi="Times New Roman" w:cs="Times New Roman"/>
          <w:bCs/>
          <w:sz w:val="24"/>
          <w:szCs w:val="24"/>
          <w:lang w:val="en-GB"/>
        </w:rPr>
        <w:t>LSK/……./………</w:t>
      </w:r>
      <w:r w:rsidRPr="00B34922">
        <w:rPr>
          <w:rFonts w:ascii="Times New Roman" w:eastAsia="Calibri" w:hAnsi="Times New Roman" w:cs="Times New Roman"/>
          <w:bCs/>
          <w:sz w:val="24"/>
          <w:szCs w:val="24"/>
          <w:shd w:val="clear" w:color="auto" w:fill="FFFFFF"/>
          <w:lang w:val="en-GB"/>
        </w:rPr>
        <w:t>)</w:t>
      </w:r>
    </w:p>
    <w:p w:rsidR="00B34922" w:rsidRPr="00B34922" w:rsidRDefault="00B34922" w:rsidP="00B34922">
      <w:pPr>
        <w:spacing w:after="0" w:line="360" w:lineRule="auto"/>
        <w:jc w:val="both"/>
        <w:rPr>
          <w:rFonts w:ascii="Times New Roman" w:eastAsia="Calibri" w:hAnsi="Times New Roman" w:cs="Times New Roman"/>
          <w:sz w:val="24"/>
          <w:szCs w:val="24"/>
          <w:u w:val="single"/>
          <w:lang w:val="en-GB"/>
        </w:rPr>
      </w:pPr>
      <w:r w:rsidRPr="00B34922">
        <w:rPr>
          <w:rFonts w:ascii="Times New Roman" w:eastAsia="Calibri" w:hAnsi="Times New Roman" w:cs="Times New Roman"/>
          <w:sz w:val="24"/>
          <w:szCs w:val="24"/>
          <w:u w:val="single"/>
          <w:lang w:val="en-GB"/>
        </w:rPr>
        <w:t xml:space="preserve"> </w:t>
      </w:r>
    </w:p>
    <w:p w:rsidR="00B34922" w:rsidRPr="00B34922" w:rsidRDefault="00B34922" w:rsidP="00B34922">
      <w:pPr>
        <w:spacing w:after="0" w:line="360" w:lineRule="auto"/>
        <w:jc w:val="both"/>
        <w:rPr>
          <w:rFonts w:ascii="Times New Roman" w:eastAsia="Calibri" w:hAnsi="Times New Roman" w:cs="Times New Roman"/>
          <w:sz w:val="24"/>
          <w:szCs w:val="24"/>
          <w:lang w:val="en-GB"/>
        </w:rPr>
      </w:pPr>
      <w:r w:rsidRPr="00B34922">
        <w:rPr>
          <w:rFonts w:ascii="Times New Roman" w:eastAsia="Calibri" w:hAnsi="Times New Roman" w:cs="Times New Roman"/>
          <w:sz w:val="24"/>
          <w:szCs w:val="24"/>
          <w:u w:val="single"/>
          <w:lang w:val="en-GB"/>
        </w:rPr>
        <w:t>DRAWN &amp; FILED BY</w:t>
      </w:r>
      <w:r w:rsidRPr="00B34922">
        <w:rPr>
          <w:rFonts w:ascii="Times New Roman" w:eastAsia="Calibri" w:hAnsi="Times New Roman" w:cs="Times New Roman"/>
          <w:sz w:val="24"/>
          <w:szCs w:val="24"/>
          <w:lang w:val="en-GB"/>
        </w:rPr>
        <w:t>:</w:t>
      </w:r>
    </w:p>
    <w:p w:rsidR="00B34922" w:rsidRPr="00B34922" w:rsidRDefault="00B34922" w:rsidP="00B34922">
      <w:pPr>
        <w:spacing w:after="0" w:line="360" w:lineRule="auto"/>
        <w:jc w:val="both"/>
        <w:rPr>
          <w:rFonts w:ascii="Times New Roman" w:eastAsia="Calibri" w:hAnsi="Times New Roman" w:cs="Times New Roman"/>
          <w:sz w:val="24"/>
          <w:szCs w:val="24"/>
          <w:u w:val="single"/>
          <w:lang w:val="en-GB"/>
        </w:rPr>
      </w:pPr>
    </w:p>
    <w:p w:rsidR="00E25CC1" w:rsidRDefault="00B34922" w:rsidP="00B34922">
      <w:pPr>
        <w:spacing w:after="0" w:line="360" w:lineRule="auto"/>
        <w:jc w:val="both"/>
      </w:pPr>
      <w:r w:rsidRPr="00B34922">
        <w:rPr>
          <w:rFonts w:ascii="Times New Roman" w:eastAsia="Calibri" w:hAnsi="Times New Roman" w:cs="Times New Roman"/>
          <w:sz w:val="24"/>
          <w:szCs w:val="24"/>
          <w:u w:val="single"/>
          <w:lang w:val="en-GB"/>
        </w:rPr>
        <w:t>TO BE SERVED UPON:</w:t>
      </w:r>
      <w:r w:rsidRPr="00B34922">
        <w:rPr>
          <w:rFonts w:ascii="Times New Roman" w:eastAsia="Calibri" w:hAnsi="Times New Roman" w:cs="Times New Roman"/>
          <w:sz w:val="24"/>
          <w:szCs w:val="24"/>
          <w:lang w:val="en-GB"/>
        </w:rPr>
        <w:t xml:space="preserve"> </w:t>
      </w:r>
      <w:bookmarkStart w:id="0" w:name="_GoBack"/>
      <w:bookmarkEnd w:id="0"/>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E2894"/>
    <w:multiLevelType w:val="hybridMultilevel"/>
    <w:tmpl w:val="994C8BD2"/>
    <w:lvl w:ilvl="0" w:tplc="79E23654">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F0B53"/>
    <w:multiLevelType w:val="hybridMultilevel"/>
    <w:tmpl w:val="1D440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AE3A32"/>
    <w:multiLevelType w:val="hybridMultilevel"/>
    <w:tmpl w:val="AB88248C"/>
    <w:lvl w:ilvl="0" w:tplc="71B22B3A">
      <w:start w:val="1"/>
      <w:numFmt w:val="decimal"/>
      <w:lvlText w:val="%1."/>
      <w:lvlJc w:val="left"/>
      <w:pPr>
        <w:tabs>
          <w:tab w:val="num" w:pos="360"/>
        </w:tabs>
        <w:ind w:left="360" w:hanging="360"/>
      </w:pPr>
      <w:rPr>
        <w:rFonts w:ascii="Times New Roman" w:eastAsia="Calibri" w:hAnsi="Times New Roman" w:cs="Times New Roman"/>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22"/>
    <w:rsid w:val="004C120E"/>
    <w:rsid w:val="00612300"/>
    <w:rsid w:val="00B3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7135"/>
  <w15:chartTrackingRefBased/>
  <w15:docId w15:val="{831FAAE3-00B0-4B09-9E35-F137DA2F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2022-06-09T08:05:00Z</dcterms:created>
  <dcterms:modified xsi:type="dcterms:W3CDTF">2022-06-09T08:06:00Z</dcterms:modified>
</cp:coreProperties>
</file>